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14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декабря 2023 г. N 64-а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ПАСПОРТОВ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ГОСУДАРСТВЕННОЙ ПРОГРАММЫ АЛТАЙСКОГО КРАЯ "ОБЕСПЕЧЕНИЕ ПРАВ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ГРАЖДАН И ИХ БЕЗОПАСНОСТИ"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18.10.2024 </w:t>
            </w:r>
            <w:hyperlink r:id="rId35" w:tooltip="Приказ Администрации Губернатора и Правительства Алтайского края от 18.10.2024 N 38-а &quot;О внесении изменения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38-а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23.10.2024 </w:t>
            </w:r>
            <w:hyperlink r:id="rId36" w:tooltip="Приказ Администрации Губернатора и Правительства Алтайского края от 23.10.2024 N 39-а &quot;О внесении изменения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19.12.2024 </w:t>
            </w:r>
            <w:hyperlink r:id="rId37" w:tooltip="Приказ Администрации Губернатора и Правительства Алтайского края от 19.12.2024 N 52-а &quot;О внесении изменения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52-а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11.03.2025 </w:t>
            </w:r>
            <w:hyperlink r:id="rId38" w:tooltip="Приказ Администрации Губернатора и Правительства Алтайского края от 11.03.2025 N 26-а &quot;О внесении изменений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26-а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С целью реализации государственной </w:t>
      </w:r>
      <w:hyperlink r:id="rId39" w:tooltip="Постановление Правительства Алтайского края от 14.12.2023 N 484 &quot;Об утверждении государственной программы Алтайского края &quot;Обеспечение прав граждан и их безопасности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программы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"Обеспечение прав граждан и их безопасности"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АСПОРТ" w:anchor="P39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"Профилактика преступлений и иных правонарушений в Алтайском крае" согласно приложению 1.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Утвердить </w:t>
      </w:r>
      <w:hyperlink w:tooltip="ПАСПОРТ" w:anchor="P1942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"Профилактика безнадзорности и правонарушений несовершеннолетних в Алтайском крае" согласно приложению 2.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Настоящий приказ вступает в силу с 01.01.2024.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1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декабря 2023 г. N 64-а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9" w:name="P39"/>
      <w:r>
        <w:rPr>
          <w:rFonts w:ascii="PT Astra Serif" w:hAnsi="PT Astra Serif" w:cs="PT Astra Serif" w:eastAsia="PT Astra Serif"/>
          <w:color w:val="000000" w:themeColor="text1"/>
        </w:rPr>
      </w:r>
      <w:bookmarkEnd w:id="39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"ПРОФИЛАКТИКА ПРЕСТУПЛЕНИЙ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ИНЫХ ПРАВОНАРУШЕНИЙ В АЛТАЙСКОМ КРАЕ"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40" w:tooltip="Приказ Администрации Губернатора и Правительства Алтайского края от 11.03.2025 N 26-а &quot;О внесении изменений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11.03.2025 N 26-а)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25"/>
        <w:gridCol w:w="4989"/>
      </w:tblGrid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98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98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программа "Обеспечение прав граждан и их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Показатели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7"/>
          <w:headerReference w:type="first" r:id="rId8"/>
          <w:footerReference w:type="default" r:id="rId21"/>
          <w:footerReference w:type="first" r:id="rId22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91"/>
        <w:gridCol w:w="2530"/>
        <w:gridCol w:w="1191"/>
        <w:gridCol w:w="1077"/>
        <w:gridCol w:w="1027"/>
        <w:gridCol w:w="730"/>
        <w:gridCol w:w="806"/>
        <w:gridCol w:w="802"/>
        <w:gridCol w:w="806"/>
        <w:gridCol w:w="806"/>
        <w:gridCol w:w="806"/>
        <w:gridCol w:w="797"/>
        <w:gridCol w:w="802"/>
        <w:gridCol w:w="1709"/>
      </w:tblGrid>
      <w:tr>
        <w:trPr/>
        <w:tc>
          <w:tcPr>
            <w:tcW w:w="69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показателя/задачи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6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за достижение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"Укрепление сил, средств и материально-технической базы субъектов, реализующих мероприятия в области профилактики правонарушений"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Снижение количества преступлений, совершенных в состоянии алкогольного опьянения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7203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7150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7100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"Повышение уровня правовой культуры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Снижение количества преступлений, совершенных на улицах и в других общественных местах (количество зарегистрированных преступлений на 10 тыс. жителей)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Процент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46,8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46,8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Снижение количества преступлений, совершенных ранее судимыми лицами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7442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7400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7300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7300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7100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6800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"Профилактика правонарушений следи лиц, склонных к противоправному поведению"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Снижение количества преступлений против личности, собственности, общественной безопасности и общественного порядка, совершенных с применением оружия и взрывчатых веществ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"Охрана общественного порядка и защита государственной границы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Снижение количества преступлений, связанных с незаконным пересечением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Перечень мероприятий (результатов) комплекса процессных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35"/>
        <w:gridCol w:w="3206"/>
        <w:gridCol w:w="1958"/>
        <w:gridCol w:w="1632"/>
        <w:gridCol w:w="859"/>
        <w:gridCol w:w="1008"/>
        <w:gridCol w:w="998"/>
        <w:gridCol w:w="859"/>
        <w:gridCol w:w="859"/>
        <w:gridCol w:w="854"/>
        <w:gridCol w:w="850"/>
        <w:gridCol w:w="854"/>
        <w:gridCol w:w="869"/>
      </w:tblGrid>
      <w:tr>
        <w:trPr/>
        <w:tc>
          <w:tcPr>
            <w:tcW w:w="83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6143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"Укрепление сил, средств и материально-технической базы субъектов, реализующих мероприятия в области профилактики правонарушений"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развитие и содержание (техническое обслуживание, ремонт, замена компонентов, налоги и возмещение затрат по потреблению электрической энергии) аппаратно-программного комплекса "Безопасный город"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приобретаются и ремонтируются компоненты АПК "Безопасный город". Значение мероприятия (результата) характеризуется количеством приобретенных и отремонтированных компонентов для АПК "Безопасный город"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оснащение краевых государственных учреждений здравоохранения иммунохроматографическими анализаторами и диагностической аппаратурой для определения паров алкоголя в выдыхаемом воздухе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приобретено оборудование для определения паров алкоголя в выдыхаемом воздухе. Значение мероприятия (результата) характеризуется количеством приобретенных иммунохроматографических анализаторов и диагностической аппаратуры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"Повышение уровня правовой культуры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Изготовлены информационные материалы, видеоролики, учебные фильмы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изготовлены информационные материалы, видеоролики и учебные фильмы. Значение мероприятия (результата) характеризуется количеством изготовленных информационных материалов, видеороликов и учебных фильмов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ованы информационные мероприятия по профилактике правонарушений, в том числе организация выхода в краевых и муниципальных средствах массовой информации материалов по актуальным вопросам профилактики правонарушений и повышения правовой грамотности населения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подготовлены и размещены информационно-пропагандистские материалы в средствах массовой информации. Значение мероприятия (результата) характеризуется количеством информационно-пропагандистских материалов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личное страхование народных дружинников на период их участия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заключен государственный контракт по личному страхованию дружинников. Значение мероприятия (результата) характеризуется заключением государственного контракта по личному страхованию дружинников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конкурсы среди народных дружин на звание "Лучшая народная дружина в сфере охраны общественного порядка" и добровольных дружинников на звание "Лучший народный дружинник в сфере охраны общественного порядка"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физическим лицам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ежего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дно проводятся краевые конкурсы на звание "Лучшая народная дружина в сфере охраны общественного порядка" и "Лучший народный дружинник в сфере охраны общественного порядка". Значение мероприятия (результата) характеризуется количеством проведенных конкурсов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фестивали, конкурсы, выставки, творческие акции, направленные на повышение правовой культуры граждан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проведены мероприятия, направленные на повышение правовой культуры граждан. Значение мероприятия (результата) характеризуется количеством проведенных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комплектование библиотечных фондов государственных и муниципальных библиотек книгами, плакатами, буклетами по правовой тематике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приобретена литература по правовым и юридическим вопросам. Значение мероприятия (результата) характеризуется количеством приобретенной литературы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Изготовлены бланки удостоверений народных дружинников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2.7.1.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изготовлены бланки удостоверений народных дружинников. Значение мероприятия (результата) характеризуется количеством изготовленных бланков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"Профилактика правонарушений среди лиц, склонных к противоправному поведению"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Обеспечение стимулирования добровольной сдачи населением незаконно хранящегося оружия, боеприпасов и взрывчатых материалов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физическим лицам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сдано незаконно хранящееся оружие. Значение мероприятия (результата) характеризуется количеством сданного оружия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Осуществлена организация и проведение разъяснительной работы с населением по профилактике преступлений, совершаемых в сфере информационных технологий (изготовление памяток для населения по профилактике мошенничества)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изготовлены памятки по профилактике мошенничества. Значение мероприятия (результата) характеризуется количеством изготовленных памяток по профилактике мошенничества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Приобретено и внедрено специализированное программное обеспечение для поиска в сети Интернет деятельности социально опасных деструктивных групп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Штука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 приобретено и внедрено специализированное программное обеспечение с целью осуществления мониторинга социальных сетей Интернет для противодействия социально-опасным явлениям, в том числе экстремизм, терроризм, Колумбайн и др., а также реализации возможнос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 информационного противодействия распространению деструктивных идеологий, выявления фактов распространения противоправного контента. Значение мероприятия (результата) характеризуется количеством приобретенного специализированного программного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"Охрана общественного порядка и защита государственной границы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Привлечение членов казачьих обществ к участию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привлечены члены казачьих обществ, зарегистрированных на территории Алтайского края, к участию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82"/>
        <w:gridCol w:w="1191"/>
        <w:gridCol w:w="1134"/>
        <w:gridCol w:w="904"/>
        <w:gridCol w:w="904"/>
        <w:gridCol w:w="904"/>
        <w:gridCol w:w="904"/>
        <w:gridCol w:w="904"/>
        <w:gridCol w:w="1134"/>
      </w:tblGrid>
      <w:tr>
        <w:trPr/>
        <w:tc>
          <w:tcPr>
            <w:tcW w:w="408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797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"Профилактика преступлений и иных правонарушений в Алтайском крае"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11015,00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12119,00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52959,00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11015,00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12119,00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52959,00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развитие и содержание (техническое обслуживание, ремонт, замена компонентов, налоги и возмещение затрат по потреблению электрической энергии) аппаратно-программного комплекса "Безопасный город"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21165,00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2595,00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21165,00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оснащение краевых государственных учреждений здравоохранения иммунохроматографическими анализаторами и диагностической аппаратурой для определения паров алкоголя в выдыхаемом воздухе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Изготовлены информационные материалы, видеоролики, учебные фильмы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Реализованы информационные 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ероприятия по профилактике правонарушений, в том числе организация выхода в краевых и муниципальных средствах массовой информации материалов по актуальным вопросам профилактики правонарушений и повышения правовой грамотности населения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личное страхование народных дружинников на период их участия в мероприятиях по охране общественного порядка и защите государственной границы Российской Федерации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конкурсы среди народных дружин на звание "Лучшая народная дружина в сфере охраны общественного порядка" и добровольных дружинников на звание "Лучший народный дружинник в сфере охраны общественного порядка"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фестивали, конкурсы, выставки, творческие акции, направленные на повышение правовой культуры граждан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комплектование библиотечных фондов государственных и муниципальных библиотек книгами, плакатами, буклетами по правовой тематике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! 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Изготовлены бланки удостоверений народных дружинников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Обеспечение стимулирования добровольной сдачи населением незаконно хранящегося оружия, боеприпасов и взрывчатых материалов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Осуществлена организация и проведение разъяснительной работы с населением по профилактике преступлений, совершаемых в сфере информационных технологий (изготовление памяток для населения по профилактике мошенничества)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Приобретено и внедрено специализированное программное обеспечение для поиска в сети Интернет деятельности социально опасных деструктивных групп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Привлечение членов казачьих обществ к участию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3104,00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3104,00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3104,00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3104,00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9"/>
          <w:headerReference w:type="first" r:id="rId10"/>
          <w:footerReference w:type="default" r:id="rId23"/>
          <w:footerReference w:type="first" r:id="rId24"/>
          <w:footnotePr/>
          <w:type w:val="nextPage"/>
          <w:pgSz w:w="16838" w:h="11906" w:orient="landscape"/>
          <w:pgMar w:top="1133" w:right="397" w:bottom="566" w:left="397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гг.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47"/>
        <w:gridCol w:w="1871"/>
        <w:gridCol w:w="4325"/>
        <w:gridCol w:w="2041"/>
      </w:tblGrid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1178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"Укрепление сил, средств и материально-технической базы субъектов, реализующих мероприятия в области профилактики правонарушений"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Осуществлено развитие и содержание (техническое обслуживание, ремонт, замена компонентов, налоги и возмещение затрат по потреблению электрической энергии) аппаратно-программного комплекса "Безопасный город"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31.05.2025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31.05.2026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31.05.2027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Лукьянов Виктор Александрович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казенное учреждение "Управление Алтайского края по делам гражданской обороны, чрезвычайным ситуациям и пожарной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Осуществлено оснащение краевых государственных учреждений здравоохранения иммунохроматографическими анализаторами и диагностической аппаратурой для определения паров алкоголя в выдыхаемом воздухе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Попов Дмитрий Владимирович - Министр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Белоцкая Наталья Ивановна - Заместитель министра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Белоцкая Наталья Ивановна - Заместитель министра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здравоохранения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1178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"Повышение уровня правовой культуры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Изготовлены информационные материалы, видеоролики, учебные фильмы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Реализ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ованы информационные мероприятия по профилактике правонарушений, в том числе организация выхода в краевых и муниципальных средствах массовой информации материалов по актуальным вопросам профилактики правонарушений и повышения правовой грамотности населения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Васильевна, заместитель начальника отдела взаимодействия с федеральными и региональными СМИ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Обеспечено личное страхование народных дружинников на период их участия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26.04.2025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26.04.2026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26.04.2027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Проведены конкурсы среди народных дружин на звание "Лучшая народная дружина в сфере охраны общественного порядка" и добровольных дружинников на звание "Лучший народный дружинник в сфере охраны общественного порядка"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утверждеп/принят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и.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Распоряжение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 Проведены фестивали, конкурсы, выставки, творческие акции, направленные на повышение правовой культуры граждан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8. Осуществлено комплектование библиотечных фондов государственных и муниципальных библиотек книгами, плакатами, буклетами по правовой тематике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Егорова Татьяна Ивановна - Директор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"Алтайская краевая универсальная научная библиотека им. В.Я.Шишкова"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заказчиком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Егорова Татьяна Ивановна - Директор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"Алтайская краевая универсальная научная библиотека им. В.Я.Шишкова"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Егорова Татьяна Ивановна - Директор Краевое государственное бюджетное учреждение "Алтайская краевая универсальная научная библиотека им. В.Я.Шишкова"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9. Изготовлены бланки удостоверений народных дружинников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1178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"Профилактика правонарушений среди лиц, склонных к противоправному поведению"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 Обеспечение стимулирования добровольной сдачи населением незаконно хранящегося оружия, боеприпасов и взрывчатых материалов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утверждец/принят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Документ, устанавливающий условия осуществления выплат (в том числе размер и получателей), утвержден/принят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Выплаты осуществлены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Горбунова Елена Валерьевна - Главный бухгалтер,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Краевое государственное бюджетное учреждение "Алтайприрода"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11. Осуществлена организация и проведение разъяснительной работы с населением по профилактике преступлений, совершаемых в сфере информационных технологий (изготовление памяток для населения по профилактике мошенничества)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 о выполнении условий, установленных при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 о выполнении условий, установленных при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 о выполнении условий, установленных при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12. Приобретено и внедрено специализированное программное обеспечение для поиска в сети Интернет деятельности социально опасных деструктивных групп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17.03.2026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17.03.2027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приемка поставленных товаров, выполненных работ, оказанных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30.03.2027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Лемешко Алена Николаевна - Начальник отдела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13. Привлечение членов казачьих обществ к участию в мероприятиях по охране общественного порядка и защите государственной границы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Департамент Администрации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Иной документ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5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3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1"/>
          <w:headerReference w:type="first" r:id="rId12"/>
          <w:footerReference w:type="default" r:id="rId25"/>
          <w:footerReference w:type="first" r:id="rId26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 2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декабря 2023 г. N 64-а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1942" w:name="P1942"/>
      <w:r>
        <w:rPr>
          <w:rFonts w:ascii="PT Astra Serif" w:hAnsi="PT Astra Serif" w:cs="PT Astra Serif" w:eastAsia="PT Astra Serif"/>
          <w:color w:val="000000" w:themeColor="text1"/>
        </w:rPr>
      </w:r>
      <w:bookmarkEnd w:id="1942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 "ПРОФИЛАКТИКА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БЕЗНАДЗОРНОСТИ И ПРАВОНАРУШЕНИЙ НЕСОВЕРШЕННОЛЕТНИХ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АЛТАЙСКОМ КРАЕ"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43" w:tooltip="Приказ Администрации Губернатора и Правительства Алтайского края от 11.03.2025 N 26-а &quot;О внесении изменений в приказ Администрации Губернатора и Правительства Алтайского края от 28.12.2023 N 64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11.03.2025 N 26-а)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25"/>
        <w:gridCol w:w="4989"/>
      </w:tblGrid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исполнительный орган Алтайского края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98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Сафонова Ольга Анатольевна - Начальник отдела по обеспечению деятельности комиссии по делам несовершеннолетних и защите их прав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98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программа "Обеспечение прав граждан и их безопасности"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Показатели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3"/>
          <w:headerReference w:type="first" r:id="rId14"/>
          <w:footerReference w:type="default" r:id="rId27"/>
          <w:footerReference w:type="first" r:id="rId28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91"/>
        <w:gridCol w:w="2530"/>
        <w:gridCol w:w="1191"/>
        <w:gridCol w:w="1077"/>
        <w:gridCol w:w="1027"/>
        <w:gridCol w:w="730"/>
        <w:gridCol w:w="806"/>
        <w:gridCol w:w="802"/>
        <w:gridCol w:w="806"/>
        <w:gridCol w:w="806"/>
        <w:gridCol w:w="806"/>
        <w:gridCol w:w="797"/>
        <w:gridCol w:w="802"/>
        <w:gridCol w:w="1709"/>
      </w:tblGrid>
      <w:tr>
        <w:trPr/>
        <w:tc>
          <w:tcPr>
            <w:tcW w:w="69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показателя/задачи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75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6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за достижение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"Вовлечение несовершеннолетних, состоящих на профилактическом учете, в общественно полезную, творческую и созидательную деятельность"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несовершеннолетних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возрасте от 14 до 18 лет, признанных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социально значимый проект "Будь занят!"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несовершеннолетних, находящихся в социально опасном положении, включенных в профильные смены для детей и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преступлений, совершенных несовершеннолетними или при их участии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779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765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760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745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388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"Развитие условий для оказания помощи семьям, находящимся в социально опасном положении"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родителей из семей, находящихся в социально опасном положении, получивших психолого-педагогические услуги в рамках проекта "Школа добрых мам и пап"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Процент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17,5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18,5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9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родителей из семей, находящихся в социально опасном положении, получивших психолого-педагогические услуги в рамках проекта "Родительская академия"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Процент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2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3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9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19,9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0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5"/>
          <w:headerReference w:type="first" r:id="rId16"/>
          <w:footerReference w:type="default" r:id="rId29"/>
          <w:footerReference w:type="first" r:id="rId30"/>
          <w:footnotePr/>
          <w:type w:val="nextPage"/>
          <w:pgSz w:w="16838" w:h="11906" w:orient="landscape"/>
          <w:pgMar w:top="1133" w:right="397" w:bottom="566" w:left="397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Перечень мероприятий (результатов) комплекса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35"/>
        <w:gridCol w:w="3206"/>
        <w:gridCol w:w="1958"/>
        <w:gridCol w:w="1632"/>
        <w:gridCol w:w="859"/>
        <w:gridCol w:w="1008"/>
        <w:gridCol w:w="998"/>
        <w:gridCol w:w="859"/>
        <w:gridCol w:w="859"/>
        <w:gridCol w:w="854"/>
        <w:gridCol w:w="850"/>
        <w:gridCol w:w="854"/>
        <w:gridCol w:w="869"/>
      </w:tblGrid>
      <w:tr>
        <w:trPr/>
        <w:tc>
          <w:tcPr>
            <w:tcW w:w="83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86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6143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1 "Вовлечение несовершеннолетних, состоящих на профилактическом учете, в общественно полезную, творческую и созидательную деятельность"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1.1. Проведен комплекс мероприятий в рамках социально значимого проекта "Будь занят!"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 комплекс ме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роприятий по организации досуга, внеурочной и трудовой занятости детей, в т.ч. несовершеннолетних, состоящих на учете в территориальных органах внутренних дел. Значение мероприятия (результата) характеризуется количеством проведенных комплексов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1.2. Проведена профильная смена для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профильные смены для подростков, состоящих на различных видах профилактического учета. Значение мероприятия (результата) характеризуется количеством проведенных смен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1.3. Проведен комплекс мероприятий по ор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ганизации массовых физкультурно-оздоровительных мероприятий по футболу, хоккею, лыжным гонкам, баскетболу, волейболу и другим видам спорта среди детей и подростков по месту жительства, в том числе состоящих на учете в территориальных органах внутренних дел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Проведены массовые физкультурно-оздоровительные мероприятия по футболу, хоккею, лыжным гонкам, бас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кетболу, волейболу и другим видам спорта среди детей и подростков по месту жительства, в том числе состоящих на учете в территориальных органах внутренних дел. Значение мероприятия (результата) характеризуется количеством проведенных комплексов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1.4. Проведен комплекс мероприятий по тематическим показам художественных и документальных фильмов, направленных на снижение преступности среди несовершеннолетних граждан, состоящих на учете в территориальных органах внутренних дел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 комплекс мероприятий по тематическим показам художественных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и документальных фильмов, направленных на снижение преступности среди несовершеннолетних граждан, состоящих на учете в территориальных органах внутренних дел. Значение мероприятия (результата) характеризуется количеством проведенных комплексов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1.5. Проведен комплекс мероприятий просветительского характера по вопросам здорового образа жизни, ответственности за совершение преступлений, назначения и исполнения наказаний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проведены мероприятия для не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совершеннолетних просветительского характера по вопросам здорового образа жизни, ответственности за совершение преступлений, назначения и исполнения наказаний. Значение мероприятия (результата) характеризуется количеством проведенных комплексов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564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2 "Развитие условий для оказания помощи семьям, находящимся в социально опасном положении"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2.1. Реализован проект "Школа добрых мам и пап"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реализован проект "Школа добрых мам и пап" - курс дистанционных занятий с родителями из семей, находящихся в социально опасном положении. Значение мероприятия (результата) характеризуется количеством проведенных курсов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32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2.2. Реализован проект "Родительская академия"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95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3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00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86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4806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 цикл собраний для родителей (законных представителей). Значение мероприятия (результата) характеризуется количеством проведенных циклов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082"/>
        <w:gridCol w:w="1191"/>
        <w:gridCol w:w="1134"/>
        <w:gridCol w:w="904"/>
        <w:gridCol w:w="904"/>
        <w:gridCol w:w="904"/>
        <w:gridCol w:w="904"/>
        <w:gridCol w:w="904"/>
        <w:gridCol w:w="1134"/>
      </w:tblGrid>
      <w:tr>
        <w:trPr/>
        <w:tc>
          <w:tcPr>
            <w:tcW w:w="408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797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"Профилактика безнадзорности и правонарушений несовершеннолетних в Алтайском крае"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19290,00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2770,00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19290,00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комплекс мероприятий в рамках социально значимого проекта "Будь занят!"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Проведена профильная смена для подростков, состоящих на различных видах профилактического учета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13760,00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1980,00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13760,00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комплекс мероприятий по организации массовых физ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культурно-оздоровительных мероприятий по футболу, хоккею, лыжным гонкам, баскетболу, волейболу и другим видам спорта среди детей и подростков по месту жительства, в том числе состоящих на учете в территориальных органах внутренних дел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120,00,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840,00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комплекс мероприятий по тематическим показам художественных и документальных фильмов, направленных на снижение преступности среди несовершеннолетних граждан, состоящих на учете в территориальных органах внутренних дел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Проведен комплекс мероприятий просветительского характера по вопросам здорового образа жизни, ответственности за совершение преступлений, назначения и исполнения наказаний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Реализован проект "Школа добрых мам и пап"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Реализован проект "Родительская академия"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0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90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7"/>
          <w:headerReference w:type="first" r:id="rId18"/>
          <w:footerReference w:type="default" r:id="rId31"/>
          <w:footerReference w:type="first" r:id="rId32"/>
          <w:footnotePr/>
          <w:type w:val="nextPage"/>
          <w:pgSz w:w="16838" w:h="11906" w:orient="landscape"/>
          <w:pgMar w:top="1133" w:right="397" w:bottom="566" w:left="397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годах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2"/>
        <w:gridCol w:w="1531"/>
        <w:gridCol w:w="4025"/>
        <w:gridCol w:w="1474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исполнительного органа Алтайского края, иного государственного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112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1. Вовлечение несовершеннолетних, состоящих на профилактическом учете, в общественно полезную, творческую и созидательную деятельность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1.1. Проведен комплекс мероприятий в рамках социально значимого проекта "Будь занят!"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30.04.2025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30.04.2026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30.04.2027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Свиридов Никита Петрович - Заместитель начальника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1.2. Проведена профильная смена для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Калмыкова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Калмыкова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29.05.2026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29.05.2027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оказание услуг по организации отдыха и оздоровления детей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30.09.2027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1.3. Проведен комплекс мероприятий по ор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ганизации массовых физкультурно-оздоровительных мероприятий по футболу, хоккею, лыжным гонкам, баскетболу, волейболу и другим видам спорта среди детей и подростков по месту жительства, в том числе состоящих на учете в территориальных органах внутренних дел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28.11.2025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протокол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протокол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Устьянцев Станислав Вадимович - Начальник отдела развития физической культуры и массового спорта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протокол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1.4. Проведен комплекс мероприятий по тематическим показам художественных и документальных фильмов, направленных на снижение преступности среди несовершеннолетних граждан, состоящих на учете в территориальных органах внутренних дел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01.07.2025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01.07.2026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01.07.2027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Бочаров Алексей Юрьевич - Заместитель министра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1.5. Проведен комплекс мероприятий просветительского характера по вопросам здорового образа жизни, ответственности за совершение преступлений, назначения и исполнения наказаний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112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2. Развитие условий для оказания помощи семьям, находящимся в социально опасном положении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2.1. Реализован проект "Школа добрых мам и пап"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30.05.2025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28.11.2025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29.05.2026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 государственный контракт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29.05.2027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государственного контракта на закупку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30.11.2027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Калмыкова Светлана Викторовна - Заместитель начальника управления по социальной политике, начальник отдела по вопросам семьи, материнства и детства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социальной защиты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Мероприятие (результат) 2.2. Реализован проект "Родительская академия"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государственного,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31.03.2027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приказ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30.06.2027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Фукс Ирина Анатольевна - Заместитель министра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19"/>
      <w:headerReference w:type="first" r:id="rId20"/>
      <w:footerReference w:type="default" r:id="rId33"/>
      <w:footerReference w:type="first" r:id="rId34"/>
      <w:footnotePr/>
      <w:type w:val="nextPage"/>
      <w:pgSz w:w="16838" w:h="11906" w:orient="landscape"/>
      <w:pgMar w:top="1133" w:right="1440" w:bottom="566" w:left="1440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sz="12" w:space="0" w:color="auto"/>
      </w:pBdr>
    </w:pPr>
    <w:r>
      <w:rPr>
        <w:sz w:val="2"/>
        <w:szCs w:val="2"/>
      </w:rPr>
    </w:r>
    <w:r/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  <w:t xml:space="preserve">1</w:t>
    </w:r>
    <w:r>
      <w:rPr>
        <w:rFonts w:ascii="PT Astra Serif" w:hAnsi="PT Astra Serif" w:cs="PT Astra Serif" w:eastAsia="PT Astra Serif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Администрации Губернатора и Правительства Алтайского края от 28.12.2023 N 64-а</w:t>
            <w:br/>
            <w:t xml:space="preserve">(ред. от 11.03.2025)</w:t>
            <w:br/>
            <w:t xml:space="preserve">"Об утвержден...</w:t>
          </w:r>
          <w:r/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20.05.2025</w:t>
          </w:r>
          <w:r/>
        </w:p>
      </w:tc>
    </w:tr>
  </w:tbl>
  <w:p>
    <w:pPr>
      <w:rPr>
        <w:sz w:val="2"/>
        <w:szCs w:val="2"/>
      </w:rPr>
      <w:pBdr>
        <w:bottom w:val="single" w:sz="12" w:space="0" w:color="auto"/>
      </w:pBdr>
    </w:pPr>
    <w:r>
      <w:rPr>
        <w:sz w:val="2"/>
        <w:szCs w:val="2"/>
      </w:rPr>
    </w:r>
    <w:r/>
  </w:p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33087" w:default="1">
    <w:name w:val="Default Paragraph Font"/>
    <w:uiPriority w:val="1"/>
    <w:semiHidden/>
    <w:unhideWhenUsed/>
  </w:style>
  <w:style w:type="numbering" w:styleId="33088" w:default="1">
    <w:name w:val="No List"/>
    <w:uiPriority w:val="99"/>
    <w:semiHidden/>
    <w:unhideWhenUsed/>
  </w:style>
  <w:style w:type="table" w:styleId="330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header" Target="header12.xml" /><Relationship Id="rId19" Type="http://schemas.openxmlformats.org/officeDocument/2006/relationships/header" Target="header13.xml" /><Relationship Id="rId20" Type="http://schemas.openxmlformats.org/officeDocument/2006/relationships/header" Target="header14.xml" /><Relationship Id="rId21" Type="http://schemas.openxmlformats.org/officeDocument/2006/relationships/footer" Target="footer1.xml" /><Relationship Id="rId22" Type="http://schemas.openxmlformats.org/officeDocument/2006/relationships/footer" Target="footer2.xml" /><Relationship Id="rId23" Type="http://schemas.openxmlformats.org/officeDocument/2006/relationships/footer" Target="footer3.xml" /><Relationship Id="rId24" Type="http://schemas.openxmlformats.org/officeDocument/2006/relationships/footer" Target="footer4.xml" /><Relationship Id="rId25" Type="http://schemas.openxmlformats.org/officeDocument/2006/relationships/footer" Target="footer5.xml" /><Relationship Id="rId26" Type="http://schemas.openxmlformats.org/officeDocument/2006/relationships/footer" Target="footer6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footer" Target="footer9.xml" /><Relationship Id="rId30" Type="http://schemas.openxmlformats.org/officeDocument/2006/relationships/footer" Target="footer10.xml" /><Relationship Id="rId31" Type="http://schemas.openxmlformats.org/officeDocument/2006/relationships/footer" Target="footer11.xml" /><Relationship Id="rId32" Type="http://schemas.openxmlformats.org/officeDocument/2006/relationships/footer" Target="footer12.xml" /><Relationship Id="rId33" Type="http://schemas.openxmlformats.org/officeDocument/2006/relationships/footer" Target="footer13.xml" /><Relationship Id="rId34" Type="http://schemas.openxmlformats.org/officeDocument/2006/relationships/footer" Target="footer14.xml" /><Relationship Id="rId35" Type="http://schemas.openxmlformats.org/officeDocument/2006/relationships/hyperlink" Target="https://login.consultant.ru/link/?req=doc&amp;base=RLAW016&amp;n=127035&amp;date=20.05.2025&amp;dst=100006&amp;field=134" TargetMode="External"/><Relationship Id="rId36" Type="http://schemas.openxmlformats.org/officeDocument/2006/relationships/hyperlink" Target="https://login.consultant.ru/link/?req=doc&amp;base=RLAW016&amp;n=127122&amp;date=20.05.2025&amp;dst=100006&amp;field=134" TargetMode="External"/><Relationship Id="rId37" Type="http://schemas.openxmlformats.org/officeDocument/2006/relationships/hyperlink" Target="https://login.consultant.ru/link/?req=doc&amp;base=RLAW016&amp;n=128917&amp;date=20.05.2025&amp;dst=100006&amp;field=134" TargetMode="External"/><Relationship Id="rId38" Type="http://schemas.openxmlformats.org/officeDocument/2006/relationships/hyperlink" Target="https://login.consultant.ru/link/?req=doc&amp;base=RLAW016&amp;n=130772&amp;date=20.05.2025&amp;dst=100006&amp;field=134" TargetMode="External"/><Relationship Id="rId39" Type="http://schemas.openxmlformats.org/officeDocument/2006/relationships/hyperlink" Target="https://login.consultant.ru/link/?req=doc&amp;base=RLAW016&amp;n=119823&amp;date=20.05.2025&amp;dst=100024&amp;field=134" TargetMode="External"/><Relationship Id="rId40" Type="http://schemas.openxmlformats.org/officeDocument/2006/relationships/hyperlink" Target="https://login.consultant.ru/link/?req=doc&amp;base=RLAW016&amp;n=130772&amp;date=20.05.2025&amp;dst=100006&amp;field=134" TargetMode="External"/><Relationship Id="rId41" Type="http://schemas.openxmlformats.org/officeDocument/2006/relationships/hyperlink" Target="https://login.consultant.ru/link/?req=doc&amp;base=LAW&amp;n=495935&amp;date=20.05.2025" TargetMode="External"/><Relationship Id="rId42" Type="http://schemas.openxmlformats.org/officeDocument/2006/relationships/hyperlink" Target="https://login.consultant.ru/link/?req=doc&amp;base=LAW&amp;n=495935&amp;date=20.05.2025" TargetMode="External"/><Relationship Id="rId43" Type="http://schemas.openxmlformats.org/officeDocument/2006/relationships/hyperlink" Target="https://login.consultant.ru/link/?req=doc&amp;base=RLAW016&amp;n=130772&amp;date=20.05.2025&amp;dst=101812&amp;field=134" TargetMode="External"/><Relationship Id="rId44" Type="http://schemas.openxmlformats.org/officeDocument/2006/relationships/hyperlink" Target="https://login.consultant.ru/link/?req=doc&amp;base=LAW&amp;n=495935&amp;date=20.05.2025" TargetMode="External"/><Relationship Id="rId45" Type="http://schemas.openxmlformats.org/officeDocument/2006/relationships/hyperlink" Target="https://login.consultant.ru/link/?req=doc&amp;base=LAW&amp;n=495935&amp;date=20.05.2025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/Relationships>
</file>

<file path=word/_rels/footer14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28.12.2023 N 64-а
(ред. от 11.03.2025)
"Об утверждении паспортов комплекса процессных мероприятий государственной программы Алтайского края "Обеспечение прав граждан и их безопасности"</dc:title>
  <cp:revision>1</cp:revision>
  <dcterms:created xsi:type="dcterms:W3CDTF">2025-05-20T04:28:17Z</dcterms:created>
  <dcterms:modified xsi:type="dcterms:W3CDTF">2025-05-20T07:44:39Z</dcterms:modified>
</cp:coreProperties>
</file>